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43E53" w14:textId="77777777" w:rsidR="000B40F2" w:rsidRDefault="000B40F2" w:rsidP="000B40F2">
      <w:pPr>
        <w:spacing w:line="240" w:lineRule="auto"/>
        <w:jc w:val="center"/>
        <w:rPr>
          <w:rFonts w:ascii="Times New Roman" w:hAnsi="Times New Roman" w:cs="Times New Roman"/>
          <w:sz w:val="24"/>
          <w:szCs w:val="24"/>
        </w:rPr>
      </w:pPr>
    </w:p>
    <w:p w14:paraId="35D7340A" w14:textId="77777777" w:rsidR="000B40F2" w:rsidRDefault="000B40F2" w:rsidP="000B40F2">
      <w:pPr>
        <w:spacing w:line="240" w:lineRule="auto"/>
        <w:jc w:val="center"/>
        <w:rPr>
          <w:rFonts w:ascii="Times New Roman" w:hAnsi="Times New Roman" w:cs="Times New Roman"/>
          <w:sz w:val="24"/>
          <w:szCs w:val="24"/>
        </w:rPr>
      </w:pPr>
    </w:p>
    <w:p w14:paraId="0542ECFC" w14:textId="77777777" w:rsidR="000B40F2" w:rsidRDefault="000B40F2" w:rsidP="000B40F2">
      <w:pPr>
        <w:spacing w:line="240" w:lineRule="auto"/>
        <w:jc w:val="center"/>
        <w:rPr>
          <w:rFonts w:ascii="Times New Roman" w:hAnsi="Times New Roman" w:cs="Times New Roman"/>
          <w:sz w:val="24"/>
          <w:szCs w:val="24"/>
        </w:rPr>
      </w:pPr>
    </w:p>
    <w:p w14:paraId="17C5DF80" w14:textId="77777777" w:rsidR="000B40F2" w:rsidRDefault="000B40F2" w:rsidP="000B40F2">
      <w:pPr>
        <w:spacing w:line="240" w:lineRule="auto"/>
        <w:jc w:val="center"/>
        <w:rPr>
          <w:rFonts w:ascii="Times New Roman" w:hAnsi="Times New Roman" w:cs="Times New Roman"/>
          <w:sz w:val="24"/>
          <w:szCs w:val="24"/>
        </w:rPr>
      </w:pPr>
    </w:p>
    <w:p w14:paraId="55343993" w14:textId="77777777" w:rsidR="000B40F2" w:rsidRDefault="000B40F2" w:rsidP="000B40F2">
      <w:pPr>
        <w:spacing w:line="240" w:lineRule="auto"/>
        <w:jc w:val="center"/>
        <w:rPr>
          <w:rFonts w:ascii="Times New Roman" w:hAnsi="Times New Roman" w:cs="Times New Roman"/>
          <w:sz w:val="24"/>
          <w:szCs w:val="24"/>
        </w:rPr>
      </w:pPr>
    </w:p>
    <w:p w14:paraId="1F269B3B" w14:textId="77777777" w:rsidR="000B40F2" w:rsidRDefault="000B40F2" w:rsidP="000B40F2">
      <w:pPr>
        <w:spacing w:line="240" w:lineRule="auto"/>
        <w:jc w:val="center"/>
        <w:rPr>
          <w:rFonts w:ascii="Times New Roman" w:hAnsi="Times New Roman" w:cs="Times New Roman"/>
          <w:sz w:val="24"/>
          <w:szCs w:val="24"/>
        </w:rPr>
      </w:pPr>
    </w:p>
    <w:p w14:paraId="441D1930" w14:textId="77777777" w:rsidR="000B40F2" w:rsidRDefault="000B40F2" w:rsidP="000B40F2">
      <w:pPr>
        <w:spacing w:line="240" w:lineRule="auto"/>
        <w:jc w:val="center"/>
        <w:rPr>
          <w:rFonts w:ascii="Times New Roman" w:hAnsi="Times New Roman" w:cs="Times New Roman"/>
          <w:sz w:val="24"/>
          <w:szCs w:val="24"/>
        </w:rPr>
      </w:pPr>
    </w:p>
    <w:p w14:paraId="63D0ED38" w14:textId="271DFA6E" w:rsidR="00F377EE" w:rsidRDefault="00525C50" w:rsidP="000B40F2">
      <w:pPr>
        <w:spacing w:line="240" w:lineRule="auto"/>
        <w:jc w:val="center"/>
        <w:rPr>
          <w:rFonts w:ascii="Times New Roman" w:hAnsi="Times New Roman" w:cs="Times New Roman"/>
          <w:sz w:val="24"/>
          <w:szCs w:val="24"/>
        </w:rPr>
      </w:pPr>
      <w:r w:rsidRPr="00525C50">
        <w:rPr>
          <w:rFonts w:ascii="Times New Roman" w:hAnsi="Times New Roman" w:cs="Times New Roman"/>
          <w:sz w:val="24"/>
          <w:szCs w:val="24"/>
        </w:rPr>
        <w:t>Analysis of Toyota</w:t>
      </w:r>
      <w:r w:rsidR="00A712EF">
        <w:rPr>
          <w:rFonts w:ascii="Times New Roman" w:hAnsi="Times New Roman" w:cs="Times New Roman"/>
          <w:sz w:val="24"/>
          <w:szCs w:val="24"/>
        </w:rPr>
        <w:t>’</w:t>
      </w:r>
      <w:r w:rsidRPr="00525C50">
        <w:rPr>
          <w:rFonts w:ascii="Times New Roman" w:hAnsi="Times New Roman" w:cs="Times New Roman"/>
          <w:sz w:val="24"/>
          <w:szCs w:val="24"/>
        </w:rPr>
        <w:t>s Corporate Citizenship</w:t>
      </w:r>
    </w:p>
    <w:p w14:paraId="3014B5D5" w14:textId="42B0137E" w:rsidR="00525C50" w:rsidRDefault="00525C50" w:rsidP="000B40F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7E89220" w14:textId="1D90C9FD" w:rsidR="00525C50" w:rsidRDefault="00525C50" w:rsidP="000B40F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8AD1310" w14:textId="77777777" w:rsidR="000B40F2" w:rsidRDefault="000B40F2" w:rsidP="000B40F2">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36952A" w14:textId="0A6B7D28" w:rsidR="003C6108" w:rsidRDefault="00525C50" w:rsidP="000B40F2">
      <w:pPr>
        <w:spacing w:line="240" w:lineRule="auto"/>
        <w:jc w:val="center"/>
        <w:rPr>
          <w:rFonts w:ascii="Times New Roman" w:hAnsi="Times New Roman" w:cs="Times New Roman"/>
          <w:sz w:val="24"/>
          <w:szCs w:val="24"/>
        </w:rPr>
      </w:pPr>
      <w:r w:rsidRPr="00525C50">
        <w:rPr>
          <w:rFonts w:ascii="Times New Roman" w:hAnsi="Times New Roman" w:cs="Times New Roman"/>
          <w:sz w:val="24"/>
          <w:szCs w:val="24"/>
        </w:rPr>
        <w:lastRenderedPageBreak/>
        <w:t>Analysis of Toyota</w:t>
      </w:r>
      <w:r w:rsidR="00A712EF">
        <w:rPr>
          <w:rFonts w:ascii="Times New Roman" w:hAnsi="Times New Roman" w:cs="Times New Roman"/>
          <w:sz w:val="24"/>
          <w:szCs w:val="24"/>
        </w:rPr>
        <w:t>’</w:t>
      </w:r>
      <w:r w:rsidRPr="00525C50">
        <w:rPr>
          <w:rFonts w:ascii="Times New Roman" w:hAnsi="Times New Roman" w:cs="Times New Roman"/>
          <w:sz w:val="24"/>
          <w:szCs w:val="24"/>
        </w:rPr>
        <w:t>s Corporate Citizenship</w:t>
      </w:r>
    </w:p>
    <w:p w14:paraId="57C59280" w14:textId="77777777" w:rsidR="003C6108" w:rsidRDefault="00525C50" w:rsidP="000B40F2">
      <w:pPr>
        <w:spacing w:line="240" w:lineRule="auto"/>
        <w:jc w:val="center"/>
        <w:rPr>
          <w:rFonts w:ascii="Times New Roman" w:hAnsi="Times New Roman" w:cs="Times New Roman"/>
          <w:b/>
          <w:sz w:val="24"/>
          <w:szCs w:val="24"/>
          <w:lang w:val="en-US"/>
        </w:rPr>
      </w:pPr>
      <w:r w:rsidRPr="00525C50">
        <w:rPr>
          <w:rFonts w:ascii="Times New Roman" w:hAnsi="Times New Roman" w:cs="Times New Roman"/>
          <w:b/>
          <w:sz w:val="24"/>
          <w:szCs w:val="24"/>
          <w:lang w:val="en-US"/>
        </w:rPr>
        <w:t>Introduction</w:t>
      </w:r>
    </w:p>
    <w:p w14:paraId="381826F4" w14:textId="04DF44AC"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Corporate Social Responsibility (CSR) refers to a model of business that enables a company to address its economic, environmental, and social imperatives while conducting its business operations and meeting the demands of the stakeholders and shareholders (United Nations Industrial Development Organization, 2020). CSR has been rationalized for four main reasons, which include the moral appeal of doing good to citizens, CSR</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contribution to sustaining environmental and community leadership, as a license to operate from governments, society, and shareholders, and for the reputation of the company to strengthen its brand and raise the stock value (Porter &amp; Kramer, 2006).  Lee &amp; Tan (2019) acknowledge that large automobile companies have deliberately taken several strategies to incorporate CSR into their operations. One of these companies is the Toyota Motor Corporation, which as of July 2020, was ranked the world</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s second most valuable automaker by market value (Stevens, 2020). This paper focuses on </w:t>
      </w:r>
      <w:r w:rsidR="00A712EF">
        <w:rPr>
          <w:rFonts w:ascii="Times New Roman" w:hAnsi="Times New Roman" w:cs="Times New Roman"/>
          <w:sz w:val="24"/>
          <w:szCs w:val="24"/>
          <w:lang w:val="en-US"/>
        </w:rPr>
        <w:t>Toyota’s attempts and achievements</w:t>
      </w:r>
      <w:r w:rsidRPr="00525C50">
        <w:rPr>
          <w:rFonts w:ascii="Times New Roman" w:hAnsi="Times New Roman" w:cs="Times New Roman"/>
          <w:sz w:val="24"/>
          <w:szCs w:val="24"/>
          <w:lang w:val="en-US"/>
        </w:rPr>
        <w:t xml:space="preserve"> in incorporating CSR into its operations, together with one of its previous scandals in dealing with Public issues. The paper then concludes by categorizing Toyota into one of the classes of Global Corporate Citizenship stages.</w:t>
      </w:r>
    </w:p>
    <w:p w14:paraId="7DC8E8DC" w14:textId="37F04B07" w:rsidR="003C6108" w:rsidRDefault="00B15B5F" w:rsidP="000B40F2">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Toyota’s </w:t>
      </w:r>
      <w:r w:rsidR="00525C50" w:rsidRPr="00525C50">
        <w:rPr>
          <w:rFonts w:ascii="Times New Roman" w:hAnsi="Times New Roman" w:cs="Times New Roman"/>
          <w:b/>
          <w:sz w:val="24"/>
          <w:szCs w:val="24"/>
          <w:lang w:val="en-US"/>
        </w:rPr>
        <w:t>CSR Track Record</w:t>
      </w:r>
    </w:p>
    <w:p w14:paraId="58E0896F" w14:textId="304F5EA4" w:rsidR="00493C33"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Toyota Motor Corporation has an excellent track record regarding Corporate Social Responsibility. The company</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first attempt at acknowledging CSR was in 2005 with the announcement of the Contribution toward Sustainable Development (Toyota Motor Corporation, 2020). It</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however</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mostly addressed the company</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s relation with its stakeholders, and a 2008 amendment was made to incorporate environmental changes and the increasing social interest in CSR (Toyota Motor Corporation, 2020). It was then called the CSR Policy </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Contribution toward Sustainable Development (Toyota Motor Corporation, 2020). Some of the most important achievements of the company while pursuing CSR include their support for the Special Olympics Nippon since 2016, and an agreement signed by the company in 2018 to become a Global Gold Partner with the Special Olympics International Organization (Toyota Motor Corporation, 2020). Other achievements include the Toyota Foundation, a non-profit organization that promoted the development of art, culture and focuses on issues related to the environment, traffic safety, and education (Lee &amp; Tan,2019).</w:t>
      </w:r>
    </w:p>
    <w:p w14:paraId="59218A1F" w14:textId="32288E1C" w:rsidR="003C6108" w:rsidRDefault="00525C50" w:rsidP="000B40F2">
      <w:pPr>
        <w:spacing w:line="240" w:lineRule="auto"/>
        <w:jc w:val="center"/>
        <w:rPr>
          <w:rFonts w:ascii="Times New Roman" w:hAnsi="Times New Roman" w:cs="Times New Roman"/>
          <w:b/>
          <w:sz w:val="24"/>
          <w:szCs w:val="24"/>
          <w:lang w:val="en-US"/>
        </w:rPr>
      </w:pPr>
      <w:r w:rsidRPr="00525C50">
        <w:rPr>
          <w:rFonts w:ascii="Times New Roman" w:hAnsi="Times New Roman" w:cs="Times New Roman"/>
          <w:b/>
          <w:sz w:val="24"/>
          <w:szCs w:val="24"/>
          <w:lang w:val="en-US"/>
        </w:rPr>
        <w:t>Corporate Governance and Stakeholder Relationships</w:t>
      </w:r>
      <w:r w:rsidR="003C6108">
        <w:rPr>
          <w:rFonts w:ascii="Times New Roman" w:hAnsi="Times New Roman" w:cs="Times New Roman"/>
          <w:b/>
          <w:sz w:val="24"/>
          <w:szCs w:val="24"/>
          <w:lang w:val="en-US"/>
        </w:rPr>
        <w:t xml:space="preserve"> at Toyota</w:t>
      </w:r>
    </w:p>
    <w:p w14:paraId="4ADCD16D" w14:textId="239AF7EF"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Toyota has used specific strategies in the management of its processes and controlling of their investors</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resources. The company has outlined its policies regarding corporate governance, some of which include the initiative to ensure shareholder equality, enhance transparency, promote collaborations with stakeholders that are not shareholders</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including employees and customers, ensure the proper functioning of the Board of Directors, and promote a constructive dialogue with shareholders (Toyota Industries Corporation, 2020). The company appoints outside directors with experience to attend their Board of Directors meetings in a supervisory role that allows the company to ensure the legality and validity of the </w:t>
      </w:r>
      <w:r w:rsidR="00DA4A6A">
        <w:rPr>
          <w:rFonts w:ascii="Times New Roman" w:hAnsi="Times New Roman" w:cs="Times New Roman"/>
          <w:sz w:val="24"/>
          <w:szCs w:val="24"/>
          <w:lang w:val="en-US"/>
        </w:rPr>
        <w:t>b</w:t>
      </w:r>
      <w:r w:rsidRPr="00525C50">
        <w:rPr>
          <w:rFonts w:ascii="Times New Roman" w:hAnsi="Times New Roman" w:cs="Times New Roman"/>
          <w:sz w:val="24"/>
          <w:szCs w:val="24"/>
          <w:lang w:val="en-US"/>
        </w:rPr>
        <w:t>oard</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s decisions (Toyota Industries Corporation, 2020). As of April 2020, the Board of Directors contained 11 directors, with four acting as outside directors (Toyota Tsusho Corporation, 2020). The 11 members include the chairman, the president, 5 executive vice presidents, and 4 directors responsible for corporate planning, accounting, and external affairs (Toyota Tsusho Corporation, 2020). The supervision of the operations of the company is headed by the </w:t>
      </w:r>
      <w:r w:rsidR="00DA4A6A">
        <w:rPr>
          <w:rFonts w:ascii="Times New Roman" w:hAnsi="Times New Roman" w:cs="Times New Roman"/>
          <w:sz w:val="24"/>
          <w:szCs w:val="24"/>
          <w:lang w:val="en-US"/>
        </w:rPr>
        <w:t>p</w:t>
      </w:r>
      <w:r w:rsidRPr="00525C50">
        <w:rPr>
          <w:rFonts w:ascii="Times New Roman" w:hAnsi="Times New Roman" w:cs="Times New Roman"/>
          <w:sz w:val="24"/>
          <w:szCs w:val="24"/>
          <w:lang w:val="en-US"/>
        </w:rPr>
        <w:t>resident</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who is also the CEO, while the chairman is mainly tasked with </w:t>
      </w:r>
      <w:r w:rsidRPr="00525C50">
        <w:rPr>
          <w:rFonts w:ascii="Times New Roman" w:hAnsi="Times New Roman" w:cs="Times New Roman"/>
          <w:sz w:val="24"/>
          <w:szCs w:val="24"/>
          <w:lang w:val="en-US"/>
        </w:rPr>
        <w:lastRenderedPageBreak/>
        <w:t>chairing the Board of Directors</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meetings (Toyota Industries Corporation, 2020). This separation of power is important for the company</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success since it allows the board to monitor how the CEO runs the company</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which would be compromised if he was part of the board (Mohr, 2019). Furthermore, since the pay of executives such as CEOs is determined by the board, a CEO who chairs the board might vote in his favor (Mohr, 2019).</w:t>
      </w:r>
    </w:p>
    <w:p w14:paraId="3FD8F32C" w14:textId="1E6156F3"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The most important stakeholders for Toyota include customers, employees, management, investors, suppliers, and the government (Abbas, 2020). For optimization of the operational growth, Toyota has made efforts to promote good relationships with its stakeholders. The company has upheld the interests of its employees by providing them with training courses such as Technical and Management Development in addition to their On-The-Job (OTJ) program to improve their skills (Rowland, 2017). Furthermore, the company offers financial assistance to its employees who are still pursuing formal education (Rowland, 2020). The company further encourages diversity, such as in 2015</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when non-Japanese executives</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including females</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were selected by the company (Toyota</w:t>
      </w:r>
      <w:r w:rsidR="00F00582">
        <w:rPr>
          <w:rFonts w:ascii="Times New Roman" w:hAnsi="Times New Roman" w:cs="Times New Roman"/>
          <w:sz w:val="24"/>
          <w:szCs w:val="24"/>
          <w:lang w:val="en-US"/>
        </w:rPr>
        <w:t xml:space="preserve"> </w:t>
      </w:r>
      <w:r w:rsidRPr="00525C50">
        <w:rPr>
          <w:rFonts w:ascii="Times New Roman" w:hAnsi="Times New Roman" w:cs="Times New Roman"/>
          <w:sz w:val="24"/>
          <w:szCs w:val="24"/>
          <w:lang w:val="en-US"/>
        </w:rPr>
        <w:t>Tsusho, 2020). Furthermore, the company has employed members with disabilities (Toyota Tsusho, 2020). Regarding their investors, the company has shown to stand by them such as during the Great Recession of 2002, thus increasing their loyalty (Abbas, 2020). The company also prioritizes customer experience by producing quality products.</w:t>
      </w:r>
    </w:p>
    <w:p w14:paraId="4584475F" w14:textId="77777777" w:rsidR="003C6108" w:rsidRDefault="00525C50" w:rsidP="000B40F2">
      <w:pPr>
        <w:spacing w:line="240" w:lineRule="auto"/>
        <w:jc w:val="center"/>
        <w:rPr>
          <w:rFonts w:ascii="Times New Roman" w:hAnsi="Times New Roman" w:cs="Times New Roman"/>
          <w:b/>
          <w:sz w:val="24"/>
          <w:szCs w:val="24"/>
          <w:lang w:val="en-US"/>
        </w:rPr>
      </w:pPr>
      <w:r w:rsidRPr="00525C50">
        <w:rPr>
          <w:rFonts w:ascii="Times New Roman" w:hAnsi="Times New Roman" w:cs="Times New Roman"/>
          <w:b/>
          <w:sz w:val="24"/>
          <w:szCs w:val="24"/>
          <w:lang w:val="en-US"/>
        </w:rPr>
        <w:t>Sustainable Development</w:t>
      </w:r>
    </w:p>
    <w:p w14:paraId="0D8F5306" w14:textId="4C122935"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According to the United Nations, sustainable development refers to the development that can satisfy the needs of current generations without compromising the ability of future generations to satisfy their own needs (Simão &amp; Lisboa, 2016). Simão &amp; Lisboa (2016) also add that sustainable development is built on three main foundations, that is the environment, the economy, and society.  Toyota has used CSR in attempts aimed at environmental protection. In 2016, the company came up with the Toyota Environmental Challenge 2050 aimed at reducing carbon dioxide emissions from cars, establishing a recycling-based society and systems, minimizing and optimizing water usage, and establishing a future society in harmony with nature (Simão &amp; Lisboa, 2016). The company also participates in the Toyota Green Month Campaign aimed at increasing awareness of the need for environmental conservation (Borowicz et al</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2020). Toyota has also implemented corporation strategies that include electrification of cars such as plug-in hybrids and uncharged together with electric cars with fuel cells and battery-powered cars. (Borowicz et al</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2020). Toyota has taken corporate social responsibility in the society through education outreach programs aimed at promoting literacy, in addition to Toyota</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Go Safely initiative</w:t>
      </w:r>
      <w:r w:rsidR="00DA4A6A">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 which provides safe driving education and tools for families in Japan (Rowland, 2017). Furthermore, the firm</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Meal Per Hour program donates meals to the Food Bank, and the company also works with the American Red Cross and other organizations to uphold community development (Rowland, 2017).</w:t>
      </w:r>
    </w:p>
    <w:p w14:paraId="5A8EA9DE" w14:textId="77777777"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Toyota has also utilized reporting methods such as the Triple Bottom Line reporting to capture an expanded spectrum of values to measure its success regarding the economy, environment, and society (Dutta, 2014). For economic performance, the company used indicators such as business generated, net reviews, net income, shareholder equity, dividend per share, and vehicle production (Dutta, 2014). Regarding environmental performance, Toyota uses resource recycling, fuel efficiency standards, reduction of water consumption, battery-to-battery business, and the use of recycled sound-proofing products (Dutta, 2014). To report social performance, Toyota uses job creation, stable employment, and labor-management relationships, promoting self-reliance for overseas dealers, employment of people with disabilities, and fostering mental health care programs (Dutta, 2014).</w:t>
      </w:r>
    </w:p>
    <w:p w14:paraId="5947F1B1" w14:textId="77777777" w:rsidR="003C6108" w:rsidRDefault="00525C50" w:rsidP="000B40F2">
      <w:pPr>
        <w:spacing w:line="240" w:lineRule="auto"/>
        <w:jc w:val="center"/>
        <w:rPr>
          <w:rFonts w:ascii="Times New Roman" w:hAnsi="Times New Roman" w:cs="Times New Roman"/>
          <w:b/>
          <w:sz w:val="24"/>
          <w:szCs w:val="24"/>
          <w:lang w:val="en-US"/>
        </w:rPr>
      </w:pPr>
      <w:r w:rsidRPr="00525C50">
        <w:rPr>
          <w:rFonts w:ascii="Times New Roman" w:hAnsi="Times New Roman" w:cs="Times New Roman"/>
          <w:b/>
          <w:sz w:val="24"/>
          <w:szCs w:val="24"/>
          <w:lang w:val="en-US"/>
        </w:rPr>
        <w:lastRenderedPageBreak/>
        <w:t>Scandals of Toyota Regarding Social Responsibility</w:t>
      </w:r>
    </w:p>
    <w:p w14:paraId="54A9B952" w14:textId="2C0D9248"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One of the most memorable scandals of Toyota occurred in 2010 when the company was not successful in dealing with public issues. Several of the company</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car models were flagged with deformities, and the crisis-affected about 8 million cars and cost up to 2 billion U</w:t>
      </w:r>
      <w:r w:rsidR="00DA4A6A">
        <w:rPr>
          <w:rFonts w:ascii="Times New Roman" w:hAnsi="Times New Roman" w:cs="Times New Roman"/>
          <w:sz w:val="24"/>
          <w:szCs w:val="24"/>
          <w:lang w:val="en-US"/>
        </w:rPr>
        <w:t>.S.</w:t>
      </w:r>
      <w:r w:rsidRPr="00525C50">
        <w:rPr>
          <w:rFonts w:ascii="Times New Roman" w:hAnsi="Times New Roman" w:cs="Times New Roman"/>
          <w:sz w:val="24"/>
          <w:szCs w:val="24"/>
          <w:lang w:val="en-US"/>
        </w:rPr>
        <w:t xml:space="preserve"> Dollars in repairs (Patrosky &amp; Guyette, 2010). This event altered the public</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perception of the credibility of the company</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products since that was not Toyota</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only crisis.  Patrosky &amp; Guyette (2010) conducted a study in which they found that the public</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perception towards the company, specifically towards its leadership, had been negatively impacted based on the response of the company to the crisis. Most of the respondents felt the company was not transparent with its stakeholders during the crisis (Patrosky &amp; Guyette, 2010)</w:t>
      </w:r>
      <w:r w:rsidR="003C6108">
        <w:rPr>
          <w:rFonts w:ascii="Times New Roman" w:hAnsi="Times New Roman" w:cs="Times New Roman"/>
          <w:sz w:val="24"/>
          <w:szCs w:val="24"/>
          <w:lang w:val="en-US"/>
        </w:rPr>
        <w:t>.</w:t>
      </w:r>
    </w:p>
    <w:p w14:paraId="49C09E7B" w14:textId="7E25048A"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Toyota spends money on lobbying, which has been condemned by many. Rauch (2018) points out that major automakers such as Toyota, Ford, and G</w:t>
      </w:r>
      <w:r w:rsidR="00DA4A6A">
        <w:rPr>
          <w:rFonts w:ascii="Times New Roman" w:hAnsi="Times New Roman" w:cs="Times New Roman"/>
          <w:sz w:val="24"/>
          <w:szCs w:val="24"/>
          <w:lang w:val="en-US"/>
        </w:rPr>
        <w:t>.M.</w:t>
      </w:r>
      <w:r w:rsidRPr="00525C50">
        <w:rPr>
          <w:rFonts w:ascii="Times New Roman" w:hAnsi="Times New Roman" w:cs="Times New Roman"/>
          <w:sz w:val="24"/>
          <w:szCs w:val="24"/>
          <w:lang w:val="en-US"/>
        </w:rPr>
        <w:t xml:space="preserve"> motors used the lobbying muscle of the Alliance of Automobile Manufacturers to weaken the tailpipe standards for cars. The company was also reported to be lobbying in Washington, D</w:t>
      </w:r>
      <w:r w:rsidR="00DA4A6A">
        <w:rPr>
          <w:rFonts w:ascii="Times New Roman" w:hAnsi="Times New Roman" w:cs="Times New Roman"/>
          <w:sz w:val="24"/>
          <w:szCs w:val="24"/>
          <w:lang w:val="en-US"/>
        </w:rPr>
        <w:t>.C.</w:t>
      </w:r>
      <w:r w:rsidRPr="00525C50">
        <w:rPr>
          <w:rFonts w:ascii="Times New Roman" w:hAnsi="Times New Roman" w:cs="Times New Roman"/>
          <w:sz w:val="24"/>
          <w:szCs w:val="24"/>
          <w:lang w:val="en-US"/>
        </w:rPr>
        <w:t xml:space="preserve"> in 2019 against potential auto tariffs that could be implemented in that year following a Section 23 investigation which looked into the national security threat related to cars and parts imported to the U</w:t>
      </w:r>
      <w:r w:rsidR="00DA4A6A">
        <w:rPr>
          <w:rFonts w:ascii="Times New Roman" w:hAnsi="Times New Roman" w:cs="Times New Roman"/>
          <w:sz w:val="24"/>
          <w:szCs w:val="24"/>
          <w:lang w:val="en-US"/>
        </w:rPr>
        <w:t>.S.</w:t>
      </w:r>
      <w:r w:rsidRPr="00525C50">
        <w:rPr>
          <w:rFonts w:ascii="Times New Roman" w:hAnsi="Times New Roman" w:cs="Times New Roman"/>
          <w:sz w:val="24"/>
          <w:szCs w:val="24"/>
          <w:lang w:val="en-US"/>
        </w:rPr>
        <w:t xml:space="preserve"> from other countries (Panzino, 2019).</w:t>
      </w:r>
    </w:p>
    <w:p w14:paraId="594FF49F" w14:textId="60DEA332" w:rsidR="003C6108" w:rsidRDefault="00525C50" w:rsidP="000B40F2">
      <w:pPr>
        <w:spacing w:line="240" w:lineRule="auto"/>
        <w:jc w:val="center"/>
        <w:rPr>
          <w:rFonts w:ascii="Times New Roman" w:hAnsi="Times New Roman" w:cs="Times New Roman"/>
          <w:b/>
          <w:sz w:val="24"/>
          <w:szCs w:val="24"/>
          <w:lang w:val="en-US"/>
        </w:rPr>
      </w:pPr>
      <w:r w:rsidRPr="00525C50">
        <w:rPr>
          <w:rFonts w:ascii="Times New Roman" w:hAnsi="Times New Roman" w:cs="Times New Roman"/>
          <w:b/>
          <w:sz w:val="24"/>
          <w:szCs w:val="24"/>
          <w:lang w:val="en-US"/>
        </w:rPr>
        <w:t>Toyota</w:t>
      </w:r>
      <w:r w:rsidR="00A712EF">
        <w:rPr>
          <w:rFonts w:ascii="Times New Roman" w:hAnsi="Times New Roman" w:cs="Times New Roman"/>
          <w:b/>
          <w:sz w:val="24"/>
          <w:szCs w:val="24"/>
          <w:lang w:val="en-US"/>
        </w:rPr>
        <w:t>’</w:t>
      </w:r>
      <w:r w:rsidRPr="00525C50">
        <w:rPr>
          <w:rFonts w:ascii="Times New Roman" w:hAnsi="Times New Roman" w:cs="Times New Roman"/>
          <w:b/>
          <w:sz w:val="24"/>
          <w:szCs w:val="24"/>
          <w:lang w:val="en-US"/>
        </w:rPr>
        <w:t>s Global Corporate Citizenship Stage</w:t>
      </w:r>
    </w:p>
    <w:p w14:paraId="66139264" w14:textId="77777777"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Mirvins &amp; Googins (2007) described five stages of corporate citizenship in which organizations can be categorized. They come up with dimensions of citizenship based on citizenship content, strategic intent, leadership, structure, issues management, stakeholder relationships, and transparency. Based on their criteria for classification, Toyota falls into the stage of transformation, which is defined by full disclosure to the stakeholders, multi-organizational stakeholder relationships, visionary leadership, being in the mainstream of automaking business, and market creation through social change. Toyota falls into this category due to the existing corporate governance strategies that ensure transparency and appropriate stakeholder relationship. Furthermore, the use of outside directors promotes multi-organizational relationships.</w:t>
      </w:r>
    </w:p>
    <w:p w14:paraId="271F9D72" w14:textId="77777777" w:rsidR="003C6108" w:rsidRDefault="00525C50" w:rsidP="000B40F2">
      <w:pPr>
        <w:spacing w:line="240" w:lineRule="auto"/>
        <w:jc w:val="center"/>
        <w:rPr>
          <w:rFonts w:ascii="Times New Roman" w:hAnsi="Times New Roman" w:cs="Times New Roman"/>
          <w:b/>
          <w:sz w:val="24"/>
          <w:szCs w:val="24"/>
          <w:lang w:val="en-US"/>
        </w:rPr>
      </w:pPr>
      <w:r w:rsidRPr="00525C50">
        <w:rPr>
          <w:rFonts w:ascii="Times New Roman" w:hAnsi="Times New Roman" w:cs="Times New Roman"/>
          <w:b/>
          <w:sz w:val="24"/>
          <w:szCs w:val="24"/>
          <w:lang w:val="en-US"/>
        </w:rPr>
        <w:t>Conclusion</w:t>
      </w:r>
    </w:p>
    <w:p w14:paraId="0336A24E" w14:textId="01A5BF87" w:rsidR="003C6108" w:rsidRDefault="00525C50" w:rsidP="000B40F2">
      <w:pPr>
        <w:spacing w:line="240" w:lineRule="auto"/>
        <w:ind w:firstLine="720"/>
        <w:rPr>
          <w:rFonts w:ascii="Times New Roman" w:hAnsi="Times New Roman" w:cs="Times New Roman"/>
          <w:sz w:val="24"/>
          <w:szCs w:val="24"/>
          <w:lang w:val="en-US"/>
        </w:rPr>
      </w:pPr>
      <w:r w:rsidRPr="00525C50">
        <w:rPr>
          <w:rFonts w:ascii="Times New Roman" w:hAnsi="Times New Roman" w:cs="Times New Roman"/>
          <w:sz w:val="24"/>
          <w:szCs w:val="24"/>
          <w:lang w:val="en-US"/>
        </w:rPr>
        <w:t>In conclusion, Toyota has achieved several milestones in the inclusion of Corporate Social Responsibilities. Most of the notable ones include the company</w:t>
      </w:r>
      <w:r w:rsidR="00A712EF">
        <w:rPr>
          <w:rFonts w:ascii="Times New Roman" w:hAnsi="Times New Roman" w:cs="Times New Roman"/>
          <w:sz w:val="24"/>
          <w:szCs w:val="24"/>
          <w:lang w:val="en-US"/>
        </w:rPr>
        <w:t>’</w:t>
      </w:r>
      <w:r w:rsidRPr="00525C50">
        <w:rPr>
          <w:rFonts w:ascii="Times New Roman" w:hAnsi="Times New Roman" w:cs="Times New Roman"/>
          <w:sz w:val="24"/>
          <w:szCs w:val="24"/>
          <w:lang w:val="en-US"/>
        </w:rPr>
        <w:t>s contribution towards environmental conservation and its part in the community. Simultaneously, the company has promoted good stakeholder relationships, thus partly meeting the goals of CSR. Nonetheless, the company needs to come up with more policies for the practical implementation of CSR.</w:t>
      </w:r>
    </w:p>
    <w:p w14:paraId="4BB51D26" w14:textId="77777777" w:rsidR="000B40F2" w:rsidRDefault="000B40F2" w:rsidP="000B40F2">
      <w:pPr>
        <w:spacing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BA9C1C3" w14:textId="4A056309" w:rsidR="00B51E42" w:rsidRDefault="00525C50" w:rsidP="000B40F2">
      <w:pPr>
        <w:spacing w:line="240" w:lineRule="auto"/>
        <w:jc w:val="center"/>
        <w:rPr>
          <w:rFonts w:ascii="Times New Roman" w:hAnsi="Times New Roman" w:cs="Times New Roman"/>
          <w:bCs/>
          <w:sz w:val="24"/>
          <w:szCs w:val="24"/>
          <w:lang w:val="en-US"/>
        </w:rPr>
      </w:pPr>
      <w:r w:rsidRPr="00525C50">
        <w:rPr>
          <w:rFonts w:ascii="Times New Roman" w:hAnsi="Times New Roman" w:cs="Times New Roman"/>
          <w:bCs/>
          <w:sz w:val="24"/>
          <w:szCs w:val="24"/>
          <w:lang w:val="en-US"/>
        </w:rPr>
        <w:lastRenderedPageBreak/>
        <w:t>References</w:t>
      </w:r>
    </w:p>
    <w:p w14:paraId="0BA835FC"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Abbas, Z. (2020). Toyota Stakeholder Analysis. Retrieved from</w:t>
      </w:r>
      <w:r>
        <w:rPr>
          <w:rFonts w:ascii="Times New Roman" w:hAnsi="Times New Roman" w:cs="Times New Roman"/>
          <w:sz w:val="24"/>
          <w:szCs w:val="24"/>
          <w:lang w:val="en-US"/>
        </w:rPr>
        <w:t xml:space="preserve"> </w:t>
      </w:r>
      <w:hyperlink r:id="rId6" w:history="1">
        <w:r w:rsidRPr="00525C50">
          <w:rPr>
            <w:rStyle w:val="Hyperlink"/>
            <w:rFonts w:ascii="Times New Roman" w:hAnsi="Times New Roman" w:cs="Times New Roman"/>
            <w:sz w:val="24"/>
            <w:szCs w:val="24"/>
            <w:lang w:val="en-US"/>
          </w:rPr>
          <w:t>https://www.researchgate.net/publication/341914345_Toyota_Stakeholder_Analysis</w:t>
        </w:r>
      </w:hyperlink>
    </w:p>
    <w:p w14:paraId="4F2BBAA5"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 xml:space="preserve">Borowicz, A., Dziembala, M., Anna, M., &amp; Latoszek, E. (2020). European Union and its Law, Policy and Economy: Internal and External Dimensions. </w:t>
      </w:r>
      <w:r w:rsidRPr="00525C50">
        <w:rPr>
          <w:rFonts w:ascii="Times New Roman" w:hAnsi="Times New Roman" w:cs="Times New Roman"/>
          <w:i/>
          <w:sz w:val="24"/>
          <w:szCs w:val="24"/>
          <w:lang w:val="en-US"/>
        </w:rPr>
        <w:t>PECSA.</w:t>
      </w:r>
      <w:r w:rsidRPr="00525C50">
        <w:rPr>
          <w:rFonts w:ascii="Times New Roman" w:hAnsi="Times New Roman" w:cs="Times New Roman"/>
          <w:sz w:val="24"/>
          <w:szCs w:val="24"/>
          <w:lang w:val="en-US"/>
        </w:rPr>
        <w:t xml:space="preserve"> Retrieved from</w:t>
      </w:r>
      <w:r>
        <w:rPr>
          <w:rFonts w:ascii="Times New Roman" w:hAnsi="Times New Roman" w:cs="Times New Roman"/>
          <w:sz w:val="24"/>
          <w:szCs w:val="24"/>
          <w:lang w:val="en-US"/>
        </w:rPr>
        <w:t xml:space="preserve"> </w:t>
      </w:r>
      <w:hyperlink r:id="rId7" w:anchor="page=104" w:history="1">
        <w:r w:rsidRPr="00525C50">
          <w:rPr>
            <w:rStyle w:val="Hyperlink"/>
            <w:rFonts w:ascii="Times New Roman" w:hAnsi="Times New Roman" w:cs="Times New Roman"/>
            <w:sz w:val="24"/>
            <w:szCs w:val="24"/>
            <w:lang w:val="en-US"/>
          </w:rPr>
          <w:t>http://www.pecsa.edu.pl/sites/default/files/PECSA%20European%20Union%20and%20its%20law%2C%20policy%2C%20and%20economy.pdf#page=104</w:t>
        </w:r>
      </w:hyperlink>
    </w:p>
    <w:p w14:paraId="5BA42B53"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 xml:space="preserve">Dutta, P. (2014). Corporate Sustainability: A Case Study on Toyota Motor Corporation. </w:t>
      </w:r>
      <w:r w:rsidRPr="00525C50">
        <w:rPr>
          <w:rFonts w:ascii="Times New Roman" w:hAnsi="Times New Roman" w:cs="Times New Roman"/>
          <w:i/>
          <w:sz w:val="24"/>
          <w:szCs w:val="24"/>
          <w:lang w:val="en-US"/>
        </w:rPr>
        <w:t>Indian Journal of Applied Research</w:t>
      </w:r>
      <w:r w:rsidRPr="00525C50">
        <w:rPr>
          <w:rFonts w:ascii="Times New Roman" w:hAnsi="Times New Roman" w:cs="Times New Roman"/>
          <w:sz w:val="24"/>
          <w:szCs w:val="24"/>
          <w:lang w:val="en-US"/>
        </w:rPr>
        <w:t>. Vol4 Issue 8. Retrieved from</w:t>
      </w:r>
      <w:r>
        <w:rPr>
          <w:rFonts w:ascii="Times New Roman" w:hAnsi="Times New Roman" w:cs="Times New Roman"/>
          <w:sz w:val="24"/>
          <w:szCs w:val="24"/>
          <w:lang w:val="en-US"/>
        </w:rPr>
        <w:t xml:space="preserve"> </w:t>
      </w:r>
      <w:hyperlink r:id="rId8" w:history="1">
        <w:r w:rsidRPr="00525C50">
          <w:rPr>
            <w:rStyle w:val="Hyperlink"/>
            <w:rFonts w:ascii="Times New Roman" w:hAnsi="Times New Roman" w:cs="Times New Roman"/>
            <w:sz w:val="24"/>
            <w:szCs w:val="24"/>
            <w:lang w:val="en-US"/>
          </w:rPr>
          <w:t>https://www.worldwidejournals.com/indian-journal-of-applied-research-(IJAR)/recent_issues_pdf/2014/August/August_2014_1406900459__28.pdf</w:t>
        </w:r>
      </w:hyperlink>
    </w:p>
    <w:p w14:paraId="441EF1C2"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 xml:space="preserve">Lee, J., &amp; Tan, W. (2019). Global Corporate Citizenship: Cross-cultural Comparison of Best Practices in the Global Automotive Industry. </w:t>
      </w:r>
      <w:r w:rsidRPr="00525C50">
        <w:rPr>
          <w:rFonts w:ascii="Times New Roman" w:hAnsi="Times New Roman" w:cs="Times New Roman"/>
          <w:i/>
          <w:sz w:val="24"/>
          <w:szCs w:val="24"/>
          <w:lang w:val="en-US"/>
        </w:rPr>
        <w:t>The Journal of Asian Finance, Economics and Business</w:t>
      </w:r>
      <w:r w:rsidRPr="00525C50">
        <w:rPr>
          <w:rFonts w:ascii="Times New Roman" w:hAnsi="Times New Roman" w:cs="Times New Roman"/>
          <w:sz w:val="24"/>
          <w:szCs w:val="24"/>
          <w:lang w:val="en-US"/>
        </w:rPr>
        <w:t>. 6. 261-271. 10.13106/jafeb.2019.vol6.no1.261.</w:t>
      </w:r>
    </w:p>
    <w:p w14:paraId="722D7AD0"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 xml:space="preserve">Mirvis, P., &amp; Googins, B. (2007). Stages of Corporate Citizenship. </w:t>
      </w:r>
      <w:r w:rsidRPr="00525C50">
        <w:rPr>
          <w:rFonts w:ascii="Times New Roman" w:hAnsi="Times New Roman" w:cs="Times New Roman"/>
          <w:i/>
          <w:sz w:val="24"/>
          <w:szCs w:val="24"/>
          <w:lang w:val="en-US"/>
        </w:rPr>
        <w:t>Engineering Management Review, IEEE</w:t>
      </w:r>
      <w:r w:rsidRPr="00525C50">
        <w:rPr>
          <w:rFonts w:ascii="Times New Roman" w:hAnsi="Times New Roman" w:cs="Times New Roman"/>
          <w:sz w:val="24"/>
          <w:szCs w:val="24"/>
          <w:lang w:val="en-US"/>
        </w:rPr>
        <w:t>. 34. 145-145. 10.1109/EMR.2006.261390.</w:t>
      </w:r>
    </w:p>
    <w:p w14:paraId="55CD6783"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 xml:space="preserve">Mohr, A. (2019). 3 Reasons to Separate CEO and Chairman Positions. </w:t>
      </w:r>
      <w:r w:rsidRPr="00525C50">
        <w:rPr>
          <w:rFonts w:ascii="Times New Roman" w:hAnsi="Times New Roman" w:cs="Times New Roman"/>
          <w:i/>
          <w:sz w:val="24"/>
          <w:szCs w:val="24"/>
          <w:lang w:val="en-US"/>
        </w:rPr>
        <w:t>Investopedia.</w:t>
      </w:r>
      <w:r w:rsidRPr="00525C50">
        <w:rPr>
          <w:rFonts w:ascii="Times New Roman" w:hAnsi="Times New Roman" w:cs="Times New Roman"/>
          <w:sz w:val="24"/>
          <w:szCs w:val="24"/>
          <w:lang w:val="en-US"/>
        </w:rPr>
        <w:t xml:space="preserve"> Retrieved from</w:t>
      </w:r>
      <w:r>
        <w:rPr>
          <w:rFonts w:ascii="Times New Roman" w:hAnsi="Times New Roman" w:cs="Times New Roman"/>
          <w:sz w:val="24"/>
          <w:szCs w:val="24"/>
          <w:lang w:val="en-US"/>
        </w:rPr>
        <w:t xml:space="preserve"> </w:t>
      </w:r>
      <w:hyperlink r:id="rId9" w:anchor=":~:text=When%20the%20CEO%20is%20also,abuse%20of%20the%20chair%20position" w:history="1">
        <w:r w:rsidRPr="00525C50">
          <w:rPr>
            <w:rStyle w:val="Hyperlink"/>
            <w:rFonts w:ascii="Times New Roman" w:hAnsi="Times New Roman" w:cs="Times New Roman"/>
            <w:sz w:val="24"/>
            <w:szCs w:val="24"/>
            <w:lang w:val="en-US"/>
          </w:rPr>
          <w:t>https://www.investopedia.com/financial-edge/0912/3-reasons-to-separate-ceo-and-chairman-positions.aspx#:~:text=When%20the%20CEO%20is%20also,abuse%20of%20the%20chair%20position</w:t>
        </w:r>
      </w:hyperlink>
    </w:p>
    <w:p w14:paraId="4408E06F"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Panzino, C. (2019). Toyota lobbying in Washington to prevent auto tariffs</w:t>
      </w:r>
      <w:r w:rsidRPr="00525C50">
        <w:rPr>
          <w:rFonts w:ascii="Times New Roman" w:hAnsi="Times New Roman" w:cs="Times New Roman"/>
          <w:i/>
          <w:sz w:val="24"/>
          <w:szCs w:val="24"/>
          <w:lang w:val="en-US"/>
        </w:rPr>
        <w:t>. S&amp;P Global</w:t>
      </w:r>
      <w:r w:rsidRPr="00525C50">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0" w:history="1">
        <w:r w:rsidRPr="00525C50">
          <w:rPr>
            <w:rStyle w:val="Hyperlink"/>
            <w:rFonts w:ascii="Times New Roman" w:hAnsi="Times New Roman" w:cs="Times New Roman"/>
            <w:sz w:val="24"/>
            <w:szCs w:val="24"/>
            <w:lang w:val="en-US"/>
          </w:rPr>
          <w:t>https://www.spglobal.com/marketintelligence/en/news-insights/trending/4TUnE64rX9Rf_VMYIq2CUg2</w:t>
        </w:r>
      </w:hyperlink>
    </w:p>
    <w:p w14:paraId="2396E5FB"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Piotrowski, C &amp; Guyette, R. (2010). Toyota Recall Crisis: Public Attitudes on Leadership and Ethics</w:t>
      </w:r>
      <w:r w:rsidRPr="00525C50">
        <w:rPr>
          <w:rFonts w:ascii="Times New Roman" w:hAnsi="Times New Roman" w:cs="Times New Roman"/>
          <w:i/>
          <w:sz w:val="24"/>
          <w:szCs w:val="24"/>
          <w:lang w:val="en-US"/>
        </w:rPr>
        <w:t>. Organization Development Journal</w:t>
      </w:r>
      <w:r w:rsidRPr="00525C50">
        <w:rPr>
          <w:rFonts w:ascii="Times New Roman" w:hAnsi="Times New Roman" w:cs="Times New Roman"/>
          <w:sz w:val="24"/>
          <w:szCs w:val="24"/>
          <w:lang w:val="en-US"/>
        </w:rPr>
        <w:t>. 28. 89-97.</w:t>
      </w:r>
    </w:p>
    <w:p w14:paraId="6F0197FC"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 xml:space="preserve">Porter, M. E., &amp; Kramer, M. R. (2006). The link between competitive advantage and corporate social responsibility. </w:t>
      </w:r>
      <w:r w:rsidRPr="00525C50">
        <w:rPr>
          <w:rFonts w:ascii="Times New Roman" w:hAnsi="Times New Roman" w:cs="Times New Roman"/>
          <w:i/>
          <w:iCs/>
          <w:sz w:val="24"/>
          <w:szCs w:val="24"/>
          <w:lang w:val="en-US"/>
        </w:rPr>
        <w:t>Harvard business review</w:t>
      </w:r>
      <w:r w:rsidRPr="00525C50">
        <w:rPr>
          <w:rFonts w:ascii="Times New Roman" w:hAnsi="Times New Roman" w:cs="Times New Roman"/>
          <w:sz w:val="24"/>
          <w:szCs w:val="24"/>
          <w:lang w:val="en-US"/>
        </w:rPr>
        <w:t xml:space="preserve">, </w:t>
      </w:r>
      <w:r w:rsidRPr="00525C50">
        <w:rPr>
          <w:rFonts w:ascii="Times New Roman" w:hAnsi="Times New Roman" w:cs="Times New Roman"/>
          <w:i/>
          <w:iCs/>
          <w:sz w:val="24"/>
          <w:szCs w:val="24"/>
          <w:lang w:val="en-US"/>
        </w:rPr>
        <w:t>84</w:t>
      </w:r>
      <w:r w:rsidRPr="00525C50">
        <w:rPr>
          <w:rFonts w:ascii="Times New Roman" w:hAnsi="Times New Roman" w:cs="Times New Roman"/>
          <w:sz w:val="24"/>
          <w:szCs w:val="24"/>
          <w:lang w:val="en-US"/>
        </w:rPr>
        <w:t>(12), 78-92.</w:t>
      </w:r>
    </w:p>
    <w:p w14:paraId="2B309B87"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Rauch, S. (2018). What Toyota Does Behind Closed Doors. MomsClean Airforce. Retrieved from</w:t>
      </w:r>
      <w:r>
        <w:rPr>
          <w:rFonts w:ascii="Times New Roman" w:hAnsi="Times New Roman" w:cs="Times New Roman"/>
          <w:sz w:val="24"/>
          <w:szCs w:val="24"/>
          <w:lang w:val="en-US"/>
        </w:rPr>
        <w:t xml:space="preserve"> </w:t>
      </w:r>
      <w:hyperlink r:id="rId11" w:history="1">
        <w:r w:rsidRPr="00525C50">
          <w:rPr>
            <w:rStyle w:val="Hyperlink"/>
            <w:rFonts w:ascii="Times New Roman" w:hAnsi="Times New Roman" w:cs="Times New Roman"/>
            <w:sz w:val="24"/>
            <w:szCs w:val="24"/>
            <w:lang w:val="en-US"/>
          </w:rPr>
          <w:t>https://www.momscleanairforce.org/toyota-behind-closed-doors/</w:t>
        </w:r>
      </w:hyperlink>
    </w:p>
    <w:p w14:paraId="02CB62FD"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Rowland, A. (2017). Toyota</w:t>
      </w:r>
      <w:r>
        <w:rPr>
          <w:rFonts w:ascii="Times New Roman" w:hAnsi="Times New Roman" w:cs="Times New Roman"/>
          <w:sz w:val="24"/>
          <w:szCs w:val="24"/>
          <w:lang w:val="en-US"/>
        </w:rPr>
        <w:t>’</w:t>
      </w:r>
      <w:r w:rsidRPr="00525C50">
        <w:rPr>
          <w:rFonts w:ascii="Times New Roman" w:hAnsi="Times New Roman" w:cs="Times New Roman"/>
          <w:sz w:val="24"/>
          <w:szCs w:val="24"/>
          <w:lang w:val="en-US"/>
        </w:rPr>
        <w:t xml:space="preserve">s Stakeholders: A CSR Analysis. </w:t>
      </w:r>
      <w:r w:rsidRPr="00525C50">
        <w:rPr>
          <w:rFonts w:ascii="Times New Roman" w:hAnsi="Times New Roman" w:cs="Times New Roman"/>
          <w:i/>
          <w:sz w:val="24"/>
          <w:szCs w:val="24"/>
          <w:lang w:val="en-US"/>
        </w:rPr>
        <w:t>Panmore Institute</w:t>
      </w:r>
      <w:r w:rsidRPr="00525C50">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2" w:anchor=":~:text=Toyota%20has%20corporate%20social%20responsibility,Toyota%20Environmental%20Activities%20Grant%20Program" w:history="1">
        <w:r w:rsidRPr="00525C50">
          <w:rPr>
            <w:rStyle w:val="Hyperlink"/>
            <w:rFonts w:ascii="Times New Roman" w:hAnsi="Times New Roman" w:cs="Times New Roman"/>
            <w:sz w:val="24"/>
            <w:szCs w:val="24"/>
            <w:lang w:val="en-US"/>
          </w:rPr>
          <w:t>http://panmore.com/toyota-stakeholders-csr-analysis#:~:text=Toyota%20has%20corporate%20social%20responsibility,Toyota%20Environmental%20Activities%20Grant%20Program</w:t>
        </w:r>
      </w:hyperlink>
    </w:p>
    <w:p w14:paraId="4FA12853"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Simão, L., &amp; Lisboa, A. (2016) Green Marketing and Green Brand – The Toyota Case</w:t>
      </w:r>
      <w:r w:rsidRPr="00525C50">
        <w:rPr>
          <w:rFonts w:ascii="Times New Roman" w:hAnsi="Times New Roman" w:cs="Times New Roman"/>
          <w:i/>
          <w:sz w:val="24"/>
          <w:szCs w:val="24"/>
          <w:lang w:val="en-US"/>
        </w:rPr>
        <w:t xml:space="preserve">. Procedia Manufacturing </w:t>
      </w:r>
      <w:r w:rsidRPr="00525C50">
        <w:rPr>
          <w:rFonts w:ascii="Times New Roman" w:hAnsi="Times New Roman" w:cs="Times New Roman"/>
          <w:sz w:val="24"/>
          <w:szCs w:val="24"/>
          <w:lang w:val="en-US"/>
        </w:rPr>
        <w:t>12 (2017) 183</w:t>
      </w:r>
      <w:r>
        <w:rPr>
          <w:rFonts w:ascii="Times New Roman" w:hAnsi="Times New Roman" w:cs="Times New Roman"/>
          <w:sz w:val="24"/>
          <w:szCs w:val="24"/>
          <w:lang w:val="en-US"/>
        </w:rPr>
        <w:t>-</w:t>
      </w:r>
      <w:r w:rsidRPr="00525C50">
        <w:rPr>
          <w:rFonts w:ascii="Times New Roman" w:hAnsi="Times New Roman" w:cs="Times New Roman"/>
          <w:sz w:val="24"/>
          <w:szCs w:val="24"/>
          <w:lang w:val="en-US"/>
        </w:rPr>
        <w:t>194.</w:t>
      </w:r>
    </w:p>
    <w:p w14:paraId="7494DCA1"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Stevens, P. (2020). Tesla Tops Toyota to become largest automaker by market value. CNBC. Retrieved from</w:t>
      </w:r>
      <w:r>
        <w:rPr>
          <w:rFonts w:ascii="Times New Roman" w:hAnsi="Times New Roman" w:cs="Times New Roman"/>
          <w:sz w:val="24"/>
          <w:szCs w:val="24"/>
          <w:lang w:val="en-US"/>
        </w:rPr>
        <w:t xml:space="preserve"> </w:t>
      </w:r>
      <w:hyperlink r:id="rId13" w:history="1">
        <w:r w:rsidRPr="00525C50">
          <w:rPr>
            <w:rStyle w:val="Hyperlink"/>
            <w:rFonts w:ascii="Times New Roman" w:hAnsi="Times New Roman" w:cs="Times New Roman"/>
            <w:sz w:val="24"/>
            <w:szCs w:val="24"/>
            <w:lang w:val="en-US"/>
          </w:rPr>
          <w:t>https://www.cnbc.com/2020/07/01/tesla-tops-toyota-to-become-largest-automaker-by-market-value.html</w:t>
        </w:r>
      </w:hyperlink>
    </w:p>
    <w:p w14:paraId="0DE11396"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Toyota Industries Corporation. (2020). Corporate Governance. Toyota Industries. Retrieved from</w:t>
      </w:r>
      <w:r>
        <w:rPr>
          <w:rFonts w:ascii="Times New Roman" w:hAnsi="Times New Roman" w:cs="Times New Roman"/>
          <w:sz w:val="24"/>
          <w:szCs w:val="24"/>
          <w:lang w:val="en-US"/>
        </w:rPr>
        <w:t xml:space="preserve"> </w:t>
      </w:r>
      <w:hyperlink r:id="rId14" w:history="1">
        <w:r w:rsidRPr="00525C50">
          <w:rPr>
            <w:rStyle w:val="Hyperlink"/>
            <w:rFonts w:ascii="Times New Roman" w:hAnsi="Times New Roman" w:cs="Times New Roman"/>
            <w:sz w:val="24"/>
            <w:szCs w:val="24"/>
            <w:lang w:val="en-US"/>
          </w:rPr>
          <w:t>https://www.toyota-industries.com/csr/management/governance/</w:t>
        </w:r>
      </w:hyperlink>
    </w:p>
    <w:p w14:paraId="0EB92827"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lastRenderedPageBreak/>
        <w:t>Toyota Motor Corporation. (2015). CSR Policy. Toyota. Retrieved from</w:t>
      </w:r>
      <w:r>
        <w:rPr>
          <w:rFonts w:ascii="Times New Roman" w:hAnsi="Times New Roman" w:cs="Times New Roman"/>
          <w:sz w:val="24"/>
          <w:szCs w:val="24"/>
          <w:lang w:val="en-US"/>
        </w:rPr>
        <w:t xml:space="preserve"> </w:t>
      </w:r>
      <w:hyperlink r:id="rId15" w:history="1">
        <w:r w:rsidRPr="00525C50">
          <w:rPr>
            <w:rStyle w:val="Hyperlink"/>
            <w:rFonts w:ascii="Times New Roman" w:hAnsi="Times New Roman" w:cs="Times New Roman"/>
            <w:sz w:val="24"/>
            <w:szCs w:val="24"/>
            <w:lang w:val="en-US"/>
          </w:rPr>
          <w:t>https://global.toyota/en/sustainability/csr/policy/</w:t>
        </w:r>
      </w:hyperlink>
    </w:p>
    <w:p w14:paraId="70461EA8" w14:textId="77777777" w:rsidR="004F411C"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Toyota Tsusho Corporation. (2020). Corporate Governance. Toyota Tsusho. Retrieved from</w:t>
      </w:r>
      <w:r>
        <w:rPr>
          <w:rFonts w:ascii="Times New Roman" w:hAnsi="Times New Roman" w:cs="Times New Roman"/>
          <w:sz w:val="24"/>
          <w:szCs w:val="24"/>
          <w:lang w:val="en-US"/>
        </w:rPr>
        <w:t xml:space="preserve"> </w:t>
      </w:r>
      <w:hyperlink r:id="rId16" w:history="1">
        <w:r w:rsidRPr="00525C50">
          <w:rPr>
            <w:rStyle w:val="Hyperlink"/>
            <w:rFonts w:ascii="Times New Roman" w:hAnsi="Times New Roman" w:cs="Times New Roman"/>
            <w:sz w:val="24"/>
            <w:szCs w:val="24"/>
            <w:lang w:val="en-US"/>
          </w:rPr>
          <w:t>https://www.toyota-tsusho.com/english/company/governance/system.html</w:t>
        </w:r>
      </w:hyperlink>
    </w:p>
    <w:p w14:paraId="4D12FF9A" w14:textId="77777777" w:rsidR="004F411C" w:rsidRPr="00525C50" w:rsidRDefault="004F411C" w:rsidP="000B40F2">
      <w:pPr>
        <w:spacing w:line="240" w:lineRule="auto"/>
        <w:ind w:left="720" w:hanging="720"/>
        <w:rPr>
          <w:rFonts w:ascii="Times New Roman" w:hAnsi="Times New Roman" w:cs="Times New Roman"/>
          <w:sz w:val="24"/>
          <w:szCs w:val="24"/>
          <w:lang w:val="en-US"/>
        </w:rPr>
      </w:pPr>
      <w:r w:rsidRPr="00525C50">
        <w:rPr>
          <w:rFonts w:ascii="Times New Roman" w:hAnsi="Times New Roman" w:cs="Times New Roman"/>
          <w:sz w:val="24"/>
          <w:szCs w:val="24"/>
          <w:lang w:val="en-US"/>
        </w:rPr>
        <w:t>United Nations Industrial Development Organization. (2020). What is CSR</w:t>
      </w:r>
      <w:r w:rsidRPr="00525C50">
        <w:rPr>
          <w:rFonts w:ascii="Times New Roman" w:hAnsi="Times New Roman" w:cs="Times New Roman"/>
          <w:i/>
          <w:sz w:val="24"/>
          <w:szCs w:val="24"/>
          <w:lang w:val="en-US"/>
        </w:rPr>
        <w:t>? UNIDO</w:t>
      </w:r>
      <w:r w:rsidRPr="00525C50">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7" w:history="1">
        <w:r w:rsidRPr="00525C50">
          <w:rPr>
            <w:rStyle w:val="Hyperlink"/>
            <w:rFonts w:ascii="Times New Roman" w:hAnsi="Times New Roman" w:cs="Times New Roman"/>
            <w:sz w:val="24"/>
            <w:szCs w:val="24"/>
            <w:lang w:val="en-US"/>
          </w:rPr>
          <w:t>https://www.unido.org/our-focus/advancing-economic-competitiveness/competitive-trade-capacities-and-corporate-responsibility/corporate-social-responsibility-market-integration/what-csr</w:t>
        </w:r>
      </w:hyperlink>
    </w:p>
    <w:sectPr w:rsidR="004F411C" w:rsidRPr="00525C50" w:rsidSect="00525C50">
      <w:headerReference w:type="default" r:id="rId18"/>
      <w:head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A10AE" w14:textId="77777777" w:rsidR="00EE1152" w:rsidRDefault="00EE1152" w:rsidP="00525C50">
      <w:pPr>
        <w:spacing w:after="0" w:line="240" w:lineRule="auto"/>
      </w:pPr>
      <w:r>
        <w:separator/>
      </w:r>
    </w:p>
  </w:endnote>
  <w:endnote w:type="continuationSeparator" w:id="0">
    <w:p w14:paraId="2380CFDB" w14:textId="77777777" w:rsidR="00EE1152" w:rsidRDefault="00EE1152" w:rsidP="0052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F9F5E" w14:textId="77777777" w:rsidR="00EE1152" w:rsidRDefault="00EE1152" w:rsidP="00525C50">
      <w:pPr>
        <w:spacing w:after="0" w:line="240" w:lineRule="auto"/>
      </w:pPr>
      <w:r>
        <w:separator/>
      </w:r>
    </w:p>
  </w:footnote>
  <w:footnote w:type="continuationSeparator" w:id="0">
    <w:p w14:paraId="1F3C5B2F" w14:textId="77777777" w:rsidR="00EE1152" w:rsidRDefault="00EE1152" w:rsidP="00525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38239098"/>
      <w:docPartObj>
        <w:docPartGallery w:val="Page Numbers (Top of Page)"/>
        <w:docPartUnique/>
      </w:docPartObj>
    </w:sdtPr>
    <w:sdtEndPr>
      <w:rPr>
        <w:noProof/>
      </w:rPr>
    </w:sdtEndPr>
    <w:sdtContent>
      <w:p w14:paraId="12D0B4FE" w14:textId="65D93E37" w:rsidR="00525C50" w:rsidRPr="00525C50" w:rsidRDefault="00525C50" w:rsidP="00525C50">
        <w:pPr>
          <w:pStyle w:val="Header"/>
          <w:jc w:val="right"/>
          <w:rPr>
            <w:rFonts w:ascii="Times New Roman" w:hAnsi="Times New Roman" w:cs="Times New Roman"/>
          </w:rPr>
        </w:pPr>
        <w:r w:rsidRPr="00525C50">
          <w:rPr>
            <w:rFonts w:ascii="Times New Roman" w:hAnsi="Times New Roman" w:cs="Times New Roman"/>
          </w:rPr>
          <w:t>ANALYSIS OF TOYOTA'S CORPORATE CITIZENSHIP</w:t>
        </w:r>
        <w:r>
          <w:rPr>
            <w:rFonts w:ascii="Times New Roman" w:hAnsi="Times New Roman" w:cs="Times New Roman"/>
          </w:rPr>
          <w:tab/>
        </w:r>
        <w:r w:rsidRPr="00525C50">
          <w:rPr>
            <w:rFonts w:ascii="Times New Roman" w:hAnsi="Times New Roman" w:cs="Times New Roman"/>
          </w:rPr>
          <w:fldChar w:fldCharType="begin"/>
        </w:r>
        <w:r w:rsidRPr="00525C50">
          <w:rPr>
            <w:rFonts w:ascii="Times New Roman" w:hAnsi="Times New Roman" w:cs="Times New Roman"/>
          </w:rPr>
          <w:instrText xml:space="preserve"> PAGE   \* MERGEFORMAT </w:instrText>
        </w:r>
        <w:r w:rsidRPr="00525C50">
          <w:rPr>
            <w:rFonts w:ascii="Times New Roman" w:hAnsi="Times New Roman" w:cs="Times New Roman"/>
          </w:rPr>
          <w:fldChar w:fldCharType="separate"/>
        </w:r>
        <w:r w:rsidRPr="00525C50">
          <w:rPr>
            <w:rFonts w:ascii="Times New Roman" w:hAnsi="Times New Roman" w:cs="Times New Roman"/>
            <w:noProof/>
          </w:rPr>
          <w:t>2</w:t>
        </w:r>
        <w:r w:rsidRPr="00525C5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00359517"/>
      <w:docPartObj>
        <w:docPartGallery w:val="Page Numbers (Top of Page)"/>
        <w:docPartUnique/>
      </w:docPartObj>
    </w:sdtPr>
    <w:sdtEndPr>
      <w:rPr>
        <w:noProof/>
      </w:rPr>
    </w:sdtEndPr>
    <w:sdtContent>
      <w:p w14:paraId="468E00BD" w14:textId="3447BED3" w:rsidR="00525C50" w:rsidRPr="00525C50" w:rsidRDefault="00525C50" w:rsidP="00525C50">
        <w:pPr>
          <w:pStyle w:val="Header"/>
          <w:jc w:val="right"/>
          <w:rPr>
            <w:rFonts w:ascii="Times New Roman" w:hAnsi="Times New Roman" w:cs="Times New Roman"/>
          </w:rPr>
        </w:pPr>
        <w:r>
          <w:rPr>
            <w:rFonts w:ascii="Times New Roman" w:hAnsi="Times New Roman" w:cs="Times New Roman"/>
            <w:lang w:val="en-US"/>
          </w:rPr>
          <w:t xml:space="preserve">Running head: </w:t>
        </w:r>
        <w:r w:rsidRPr="00525C50">
          <w:rPr>
            <w:rFonts w:ascii="Times New Roman" w:hAnsi="Times New Roman" w:cs="Times New Roman"/>
          </w:rPr>
          <w:t>ANALYSIS OF TOYOTA'S CORPORATE CITIZENSHIP</w:t>
        </w:r>
        <w:r>
          <w:rPr>
            <w:rFonts w:ascii="Times New Roman" w:hAnsi="Times New Roman" w:cs="Times New Roman"/>
          </w:rPr>
          <w:tab/>
        </w:r>
        <w:r w:rsidRPr="00525C50">
          <w:rPr>
            <w:rFonts w:ascii="Times New Roman" w:hAnsi="Times New Roman" w:cs="Times New Roman"/>
          </w:rPr>
          <w:fldChar w:fldCharType="begin"/>
        </w:r>
        <w:r w:rsidRPr="00525C50">
          <w:rPr>
            <w:rFonts w:ascii="Times New Roman" w:hAnsi="Times New Roman" w:cs="Times New Roman"/>
          </w:rPr>
          <w:instrText xml:space="preserve"> PAGE   \* MERGEFORMAT </w:instrText>
        </w:r>
        <w:r w:rsidRPr="00525C50">
          <w:rPr>
            <w:rFonts w:ascii="Times New Roman" w:hAnsi="Times New Roman" w:cs="Times New Roman"/>
          </w:rPr>
          <w:fldChar w:fldCharType="separate"/>
        </w:r>
        <w:r w:rsidRPr="00525C50">
          <w:rPr>
            <w:rFonts w:ascii="Times New Roman" w:hAnsi="Times New Roman" w:cs="Times New Roman"/>
            <w:noProof/>
          </w:rPr>
          <w:t>2</w:t>
        </w:r>
        <w:r w:rsidRPr="00525C5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0Njc0NzMxNzSyNDNW0lEKTi0uzszPAykwqgUAdYfi3iwAAAA="/>
  </w:docVars>
  <w:rsids>
    <w:rsidRoot w:val="00525C50"/>
    <w:rsid w:val="000B40F2"/>
    <w:rsid w:val="003C6108"/>
    <w:rsid w:val="004705B5"/>
    <w:rsid w:val="00493C33"/>
    <w:rsid w:val="004F411C"/>
    <w:rsid w:val="00525C50"/>
    <w:rsid w:val="00A1445E"/>
    <w:rsid w:val="00A712EF"/>
    <w:rsid w:val="00AD0B53"/>
    <w:rsid w:val="00B15B5F"/>
    <w:rsid w:val="00B51E42"/>
    <w:rsid w:val="00DA4A6A"/>
    <w:rsid w:val="00E451AB"/>
    <w:rsid w:val="00EE1152"/>
    <w:rsid w:val="00F00582"/>
    <w:rsid w:val="00F23930"/>
    <w:rsid w:val="00F377E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CBC42"/>
  <w15:chartTrackingRefBased/>
  <w15:docId w15:val="{ED236F3C-71DF-48C0-8107-72DFD24B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C50"/>
    <w:rPr>
      <w:color w:val="0563C1" w:themeColor="hyperlink"/>
      <w:u w:val="single"/>
    </w:rPr>
  </w:style>
  <w:style w:type="character" w:styleId="UnresolvedMention">
    <w:name w:val="Unresolved Mention"/>
    <w:basedOn w:val="DefaultParagraphFont"/>
    <w:uiPriority w:val="99"/>
    <w:semiHidden/>
    <w:unhideWhenUsed/>
    <w:rsid w:val="00525C50"/>
    <w:rPr>
      <w:color w:val="605E5C"/>
      <w:shd w:val="clear" w:color="auto" w:fill="E1DFDD"/>
    </w:rPr>
  </w:style>
  <w:style w:type="paragraph" w:styleId="Header">
    <w:name w:val="header"/>
    <w:basedOn w:val="Normal"/>
    <w:link w:val="HeaderChar"/>
    <w:uiPriority w:val="99"/>
    <w:unhideWhenUsed/>
    <w:rsid w:val="00525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C50"/>
  </w:style>
  <w:style w:type="paragraph" w:styleId="Footer">
    <w:name w:val="footer"/>
    <w:basedOn w:val="Normal"/>
    <w:link w:val="FooterChar"/>
    <w:uiPriority w:val="99"/>
    <w:unhideWhenUsed/>
    <w:rsid w:val="00525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widejournals.com/indian-journal-of-applied-research-(IJAR)/recent_issues_pdf/2014/August/August_2014_1406900459__28.pdf" TargetMode="External"/><Relationship Id="rId13" Type="http://schemas.openxmlformats.org/officeDocument/2006/relationships/hyperlink" Target="https://www.cnbc.com/2020/07/01/tesla-tops-toyota-to-become-largest-automaker-by-market-value.html"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pecsa.edu.pl/sites/default/files/PECSA%20European%20Union%20and%20its%20law%2C%20policy%2C%20and%20economy.pdf" TargetMode="External"/><Relationship Id="rId12" Type="http://schemas.openxmlformats.org/officeDocument/2006/relationships/hyperlink" Target="http://panmore.com/toyota-stakeholders-csr-analysis" TargetMode="External"/><Relationship Id="rId17" Type="http://schemas.openxmlformats.org/officeDocument/2006/relationships/hyperlink" Target="https://www.unido.org/our-focus/advancing-economic-competitiveness/competitive-trade-capacities-and-corporate-responsibility/corporate-social-responsibility-market-integration/what-csr" TargetMode="External"/><Relationship Id="rId2" Type="http://schemas.openxmlformats.org/officeDocument/2006/relationships/settings" Target="settings.xml"/><Relationship Id="rId16" Type="http://schemas.openxmlformats.org/officeDocument/2006/relationships/hyperlink" Target="https://www.toyota-tsusho.com/english/company/governance/system.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researchgate.net/publication/341914345_Toyota_Stakeholder_Analysis" TargetMode="External"/><Relationship Id="rId11" Type="http://schemas.openxmlformats.org/officeDocument/2006/relationships/hyperlink" Target="https://www.momscleanairforce.org/toyota-behind-closed-doors/" TargetMode="External"/><Relationship Id="rId5" Type="http://schemas.openxmlformats.org/officeDocument/2006/relationships/endnotes" Target="endnotes.xml"/><Relationship Id="rId15" Type="http://schemas.openxmlformats.org/officeDocument/2006/relationships/hyperlink" Target="https://global.toyota/en/sustainability/csr/policy/" TargetMode="External"/><Relationship Id="rId10" Type="http://schemas.openxmlformats.org/officeDocument/2006/relationships/hyperlink" Target="https://www.spglobal.com/marketintelligence/en/news-insights/trending/4TUnE64rX9Rf_VMYIq2CUg2"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investopedia.com/financial-edge/0912/3-reasons-to-separate-ceo-and-chairman-positions.aspx" TargetMode="External"/><Relationship Id="rId14" Type="http://schemas.openxmlformats.org/officeDocument/2006/relationships/hyperlink" Target="https://www.toyota-industries.com/csr/management/gover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2321</Words>
  <Characters>13231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2020-12-08T21:39:00Z</dcterms:created>
  <dcterms:modified xsi:type="dcterms:W3CDTF">2020-12-08T22:22:00Z</dcterms:modified>
</cp:coreProperties>
</file>